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2A3">
        <w:rPr>
          <w:rFonts w:ascii="Times New Roman" w:eastAsia="Times New Roman" w:hAnsi="Times New Roman" w:cs="Times New Roman"/>
          <w:sz w:val="24"/>
          <w:szCs w:val="24"/>
          <w:lang w:eastAsia="pl-PL"/>
        </w:rPr>
        <w:t>płynów do d</w:t>
      </w:r>
      <w:r w:rsidR="001B2544">
        <w:rPr>
          <w:rFonts w:ascii="Times New Roman" w:eastAsia="Times New Roman" w:hAnsi="Times New Roman" w:cs="Times New Roman"/>
          <w:sz w:val="24"/>
          <w:szCs w:val="24"/>
          <w:lang w:eastAsia="pl-PL"/>
        </w:rPr>
        <w:t>ializ – nr postępowania EZ/215/9</w:t>
      </w:r>
      <w:bookmarkStart w:id="0" w:name="_GoBack"/>
      <w:bookmarkEnd w:id="0"/>
      <w:r w:rsidR="001702A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B2544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2016-09-09T05:14:00Z</dcterms:created>
  <dcterms:modified xsi:type="dcterms:W3CDTF">2016-12-27T08:31:00Z</dcterms:modified>
</cp:coreProperties>
</file>