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CE6F4F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na zakup wraz z </w:t>
      </w:r>
      <w:r w:rsidR="00B9785A" w:rsidRPr="0032127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dostawą</w:t>
      </w:r>
      <w:r w:rsidR="00321270" w:rsidRPr="00321270">
        <w:rPr>
          <w:rFonts w:ascii="Times New Roman" w:hAnsi="Times New Roman" w:cs="Times New Roman"/>
          <w:sz w:val="24"/>
          <w:szCs w:val="24"/>
        </w:rPr>
        <w:t xml:space="preserve"> </w:t>
      </w:r>
      <w:r w:rsidR="00321270" w:rsidRPr="00321270">
        <w:rPr>
          <w:rFonts w:ascii="Times New Roman" w:hAnsi="Times New Roman" w:cs="Times New Roman"/>
          <w:sz w:val="24"/>
          <w:szCs w:val="24"/>
        </w:rPr>
        <w:t>substancji stosowanych w recepturze aptecznej</w:t>
      </w:r>
      <w:r w:rsidR="00321270">
        <w:rPr>
          <w:rFonts w:ascii="Times New Roman" w:eastAsia="Times New Roman" w:hAnsi="Times New Roman" w:cs="Times New Roman"/>
          <w:sz w:val="24"/>
          <w:szCs w:val="24"/>
          <w:lang w:eastAsia="pl-PL"/>
        </w:rPr>
        <w:t>– EZ/215/50</w:t>
      </w:r>
      <w:bookmarkStart w:id="0" w:name="_GoBack"/>
      <w:bookmarkEnd w:id="0"/>
      <w:r w:rsidR="00C76E08">
        <w:rPr>
          <w:rFonts w:ascii="Times New Roman" w:eastAsia="Times New Roman" w:hAnsi="Times New Roman" w:cs="Times New Roman"/>
          <w:sz w:val="24"/>
          <w:szCs w:val="24"/>
          <w:lang w:eastAsia="pl-PL"/>
        </w:rPr>
        <w:t>/2015</w:t>
      </w:r>
      <w:r w:rsidR="00B9785A"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12336B"/>
    <w:rsid w:val="00123424"/>
    <w:rsid w:val="00321270"/>
    <w:rsid w:val="003620BB"/>
    <w:rsid w:val="007D3BF0"/>
    <w:rsid w:val="00930F78"/>
    <w:rsid w:val="00B9785A"/>
    <w:rsid w:val="00C34FF6"/>
    <w:rsid w:val="00C76E08"/>
    <w:rsid w:val="00CE6F4F"/>
    <w:rsid w:val="00E0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8</cp:revision>
  <dcterms:created xsi:type="dcterms:W3CDTF">2014-03-18T09:08:00Z</dcterms:created>
  <dcterms:modified xsi:type="dcterms:W3CDTF">2015-04-16T11:22:00Z</dcterms:modified>
</cp:coreProperties>
</file>